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11" w:rsidRPr="00BF0EEB" w:rsidRDefault="007C1A11" w:rsidP="007C1A11">
      <w:pPr>
        <w:jc w:val="center"/>
        <w:rPr>
          <w:rFonts w:ascii="Times New Roman" w:hAnsi="Times New Roman" w:cs="Times New Roman"/>
          <w:b/>
          <w:bCs/>
          <w:sz w:val="23"/>
          <w:szCs w:val="23"/>
        </w:rPr>
      </w:pPr>
      <w:r>
        <w:rPr>
          <w:rFonts w:ascii="Times New Roman" w:hAnsi="Times New Roman" w:cs="Times New Roman"/>
          <w:b/>
          <w:bCs/>
          <w:sz w:val="23"/>
          <w:szCs w:val="23"/>
        </w:rPr>
        <w:t>Best Practice 1 (2019-2020</w:t>
      </w:r>
      <w:r w:rsidRPr="00BF0EEB">
        <w:rPr>
          <w:rFonts w:ascii="Times New Roman" w:hAnsi="Times New Roman" w:cs="Times New Roman"/>
          <w:b/>
          <w:bCs/>
          <w:sz w:val="23"/>
          <w:szCs w:val="23"/>
        </w:rPr>
        <w:t>)</w:t>
      </w:r>
    </w:p>
    <w:p w:rsidR="007C1A11" w:rsidRPr="00BF0EEB" w:rsidRDefault="007C1A11" w:rsidP="007C1A11">
      <w:pPr>
        <w:jc w:val="center"/>
        <w:rPr>
          <w:rFonts w:ascii="Times New Roman" w:hAnsi="Times New Roman" w:cs="Times New Roman"/>
          <w:b/>
          <w:bCs/>
          <w:smallCaps/>
          <w:sz w:val="27"/>
          <w:szCs w:val="23"/>
        </w:rPr>
      </w:pPr>
      <w:r w:rsidRPr="00BF0EEB">
        <w:rPr>
          <w:rFonts w:ascii="Times New Roman" w:hAnsi="Times New Roman" w:cs="Times New Roman"/>
          <w:b/>
          <w:bCs/>
          <w:smallCaps/>
          <w:sz w:val="27"/>
          <w:szCs w:val="23"/>
        </w:rPr>
        <w:t>GAC Incentive Scheme</w:t>
      </w:r>
    </w:p>
    <w:p w:rsidR="007C1A11" w:rsidRPr="00BF0EEB" w:rsidRDefault="007C1A11" w:rsidP="007C1A11">
      <w:pPr>
        <w:jc w:val="center"/>
        <w:rPr>
          <w:rFonts w:ascii="Times New Roman" w:hAnsi="Times New Roman" w:cs="Times New Roman"/>
          <w:b/>
          <w:bCs/>
          <w:smallCaps/>
          <w:sz w:val="27"/>
          <w:szCs w:val="23"/>
        </w:rPr>
      </w:pPr>
    </w:p>
    <w:p w:rsidR="007C1A11" w:rsidRPr="00BF0EEB" w:rsidRDefault="007C1A11" w:rsidP="007C1A11">
      <w:pPr>
        <w:jc w:val="both"/>
        <w:rPr>
          <w:rFonts w:ascii="Times New Roman" w:hAnsi="Times New Roman" w:cs="Times New Roman"/>
          <w:b/>
          <w:bCs/>
          <w:sz w:val="23"/>
          <w:szCs w:val="23"/>
        </w:rPr>
      </w:pPr>
      <w:r w:rsidRPr="00BF0EEB">
        <w:rPr>
          <w:rFonts w:ascii="Times New Roman" w:hAnsi="Times New Roman" w:cs="Times New Roman"/>
          <w:b/>
          <w:bCs/>
          <w:sz w:val="23"/>
          <w:szCs w:val="23"/>
        </w:rPr>
        <w:t>1. Title of the Practice: GAC Incentive Scheme</w:t>
      </w:r>
    </w:p>
    <w:p w:rsidR="007C1A11" w:rsidRPr="00BF0EEB" w:rsidRDefault="007C1A11" w:rsidP="007C1A11">
      <w:pPr>
        <w:jc w:val="both"/>
        <w:rPr>
          <w:rFonts w:ascii="Times New Roman" w:hAnsi="Times New Roman" w:cs="Times New Roman"/>
          <w:sz w:val="23"/>
          <w:szCs w:val="23"/>
        </w:rPr>
      </w:pPr>
      <w:r w:rsidRPr="00BF0EEB">
        <w:rPr>
          <w:rFonts w:ascii="Times New Roman" w:hAnsi="Times New Roman" w:cs="Times New Roman"/>
          <w:b/>
          <w:bCs/>
          <w:sz w:val="23"/>
          <w:szCs w:val="23"/>
        </w:rPr>
        <w:t xml:space="preserve">2. Objective of the Practice: </w:t>
      </w:r>
      <w:r w:rsidRPr="00BF0EEB">
        <w:rPr>
          <w:rFonts w:ascii="Times New Roman" w:hAnsi="Times New Roman" w:cs="Times New Roman"/>
          <w:sz w:val="23"/>
          <w:szCs w:val="23"/>
        </w:rPr>
        <w:t xml:space="preserve">Imbibe the spirit of accountability among students. </w:t>
      </w:r>
    </w:p>
    <w:p w:rsidR="007C1A11" w:rsidRPr="00BF0EEB" w:rsidRDefault="007C1A11" w:rsidP="007C1A11">
      <w:pPr>
        <w:jc w:val="both"/>
        <w:rPr>
          <w:rFonts w:ascii="Times New Roman" w:hAnsi="Times New Roman" w:cs="Times New Roman"/>
          <w:sz w:val="23"/>
          <w:szCs w:val="23"/>
        </w:rPr>
      </w:pPr>
      <w:proofErr w:type="gramStart"/>
      <w:r w:rsidRPr="00BF0EEB">
        <w:rPr>
          <w:rFonts w:ascii="Times New Roman" w:hAnsi="Times New Roman" w:cs="Times New Roman"/>
          <w:b/>
          <w:bCs/>
          <w:sz w:val="23"/>
          <w:szCs w:val="23"/>
        </w:rPr>
        <w:t xml:space="preserve">Intended Outcome: </w:t>
      </w:r>
      <w:r w:rsidRPr="00BF0EEB">
        <w:rPr>
          <w:rFonts w:ascii="Times New Roman" w:hAnsi="Times New Roman" w:cs="Times New Roman"/>
          <w:sz w:val="23"/>
          <w:szCs w:val="23"/>
        </w:rPr>
        <w:t>Promote a healthy-productive competition among students.</w:t>
      </w:r>
      <w:proofErr w:type="gramEnd"/>
    </w:p>
    <w:p w:rsidR="007C1A11" w:rsidRDefault="007C1A11" w:rsidP="007C1A11">
      <w:pPr>
        <w:jc w:val="both"/>
        <w:rPr>
          <w:rFonts w:ascii="Times New Roman" w:hAnsi="Times New Roman" w:cs="Times New Roman"/>
          <w:b/>
          <w:bCs/>
          <w:sz w:val="23"/>
          <w:szCs w:val="23"/>
        </w:rPr>
      </w:pPr>
      <w:r w:rsidRPr="00BF0EEB">
        <w:rPr>
          <w:rFonts w:ascii="Times New Roman" w:hAnsi="Times New Roman" w:cs="Times New Roman"/>
          <w:b/>
          <w:bCs/>
          <w:sz w:val="23"/>
          <w:szCs w:val="23"/>
        </w:rPr>
        <w:t xml:space="preserve">3. Context </w:t>
      </w:r>
    </w:p>
    <w:p w:rsidR="007C1A11" w:rsidRPr="00BF0EEB" w:rsidRDefault="007C1A11" w:rsidP="007C1A11">
      <w:pPr>
        <w:jc w:val="both"/>
        <w:rPr>
          <w:rFonts w:ascii="Times New Roman" w:hAnsi="Times New Roman" w:cs="Times New Roman"/>
          <w:sz w:val="23"/>
          <w:szCs w:val="23"/>
        </w:rPr>
      </w:pPr>
      <w:r w:rsidRPr="00BF0EEB">
        <w:rPr>
          <w:rFonts w:ascii="Times New Roman" w:hAnsi="Times New Roman" w:cs="Times New Roman"/>
          <w:sz w:val="23"/>
          <w:szCs w:val="23"/>
        </w:rPr>
        <w:t xml:space="preserve">Students occupy an </w:t>
      </w:r>
      <w:proofErr w:type="gramStart"/>
      <w:r w:rsidRPr="00BF0EEB">
        <w:rPr>
          <w:rFonts w:ascii="Times New Roman" w:hAnsi="Times New Roman" w:cs="Times New Roman"/>
          <w:sz w:val="23"/>
          <w:szCs w:val="23"/>
        </w:rPr>
        <w:t>accountable</w:t>
      </w:r>
      <w:proofErr w:type="gramEnd"/>
      <w:r w:rsidRPr="00BF0EEB">
        <w:rPr>
          <w:rFonts w:ascii="Times New Roman" w:hAnsi="Times New Roman" w:cs="Times New Roman"/>
          <w:sz w:val="23"/>
          <w:szCs w:val="23"/>
        </w:rPr>
        <w:t xml:space="preserve"> role and position in educational institutions. They are responsible for converting learning to productive goals and they need to understand that learning requires mental effort -</w:t>
      </w:r>
      <w:proofErr w:type="gramStart"/>
      <w:r w:rsidRPr="00BF0EEB">
        <w:rPr>
          <w:rFonts w:ascii="Times New Roman" w:hAnsi="Times New Roman" w:cs="Times New Roman"/>
          <w:sz w:val="23"/>
          <w:szCs w:val="23"/>
        </w:rPr>
        <w:t>that</w:t>
      </w:r>
      <w:proofErr w:type="gramEnd"/>
      <w:r w:rsidRPr="00BF0EEB">
        <w:rPr>
          <w:rFonts w:ascii="Times New Roman" w:hAnsi="Times New Roman" w:cs="Times New Roman"/>
          <w:sz w:val="23"/>
          <w:szCs w:val="23"/>
        </w:rPr>
        <w:t xml:space="preserve"> good learners are strategic and poor learners are not, and that strategy use is the means by which learning occurs. Since strategy which enhances memory and comprehension is a mental event carried out by the students to achieve desired goals, they ought to be effectively and adequately compensated for their </w:t>
      </w:r>
      <w:proofErr w:type="spellStart"/>
      <w:r w:rsidRPr="00BF0EEB">
        <w:rPr>
          <w:rFonts w:ascii="Times New Roman" w:hAnsi="Times New Roman" w:cs="Times New Roman"/>
          <w:sz w:val="23"/>
          <w:szCs w:val="23"/>
        </w:rPr>
        <w:t>labour</w:t>
      </w:r>
      <w:proofErr w:type="spellEnd"/>
      <w:r w:rsidRPr="00BF0EEB">
        <w:rPr>
          <w:rFonts w:ascii="Times New Roman" w:hAnsi="Times New Roman" w:cs="Times New Roman"/>
          <w:sz w:val="23"/>
          <w:szCs w:val="23"/>
        </w:rPr>
        <w:t xml:space="preserve">; an incentive, designed to recognize some specific accomplishment on the part of a student, is given to students based on an individual’s performance evaluation. Though incentive schemes are not a panacea for students’ productivity problems nor are they universally applicable to all types of learning, understanding that a person who is motivated works hard, sustains a pace of hard work, and has self-directed </w:t>
      </w:r>
      <w:proofErr w:type="spellStart"/>
      <w:r w:rsidRPr="00BF0EEB">
        <w:rPr>
          <w:rFonts w:ascii="Times New Roman" w:hAnsi="Times New Roman" w:cs="Times New Roman"/>
          <w:sz w:val="23"/>
          <w:szCs w:val="23"/>
        </w:rPr>
        <w:t>behaviour</w:t>
      </w:r>
      <w:proofErr w:type="spellEnd"/>
      <w:r w:rsidRPr="00BF0EEB">
        <w:rPr>
          <w:rFonts w:ascii="Times New Roman" w:hAnsi="Times New Roman" w:cs="Times New Roman"/>
          <w:sz w:val="23"/>
          <w:szCs w:val="23"/>
        </w:rPr>
        <w:t xml:space="preserve"> toward important goals it is expected that the prospect of the incentive payment motivates students for the desired performance behavior and fields positive results.</w:t>
      </w:r>
    </w:p>
    <w:p w:rsidR="007C1A11" w:rsidRDefault="007C1A11" w:rsidP="007C1A11">
      <w:pPr>
        <w:pStyle w:val="Default"/>
        <w:jc w:val="both"/>
        <w:rPr>
          <w:rFonts w:ascii="Times New Roman" w:hAnsi="Times New Roman" w:cs="Times New Roman"/>
          <w:b/>
          <w:bCs/>
          <w:sz w:val="23"/>
          <w:szCs w:val="23"/>
        </w:rPr>
      </w:pPr>
      <w:r w:rsidRPr="00BF0EEB">
        <w:rPr>
          <w:rFonts w:ascii="Times New Roman" w:hAnsi="Times New Roman" w:cs="Times New Roman"/>
          <w:b/>
          <w:bCs/>
          <w:sz w:val="23"/>
          <w:szCs w:val="23"/>
        </w:rPr>
        <w:t>4. Practice</w:t>
      </w:r>
    </w:p>
    <w:p w:rsidR="007C1A11" w:rsidRPr="00BF0EEB" w:rsidRDefault="007C1A11" w:rsidP="007C1A11">
      <w:pPr>
        <w:pStyle w:val="Default"/>
        <w:jc w:val="both"/>
        <w:rPr>
          <w:rFonts w:ascii="Times New Roman" w:hAnsi="Times New Roman" w:cs="Times New Roman"/>
          <w:sz w:val="23"/>
          <w:szCs w:val="23"/>
        </w:rPr>
      </w:pPr>
      <w:r w:rsidRPr="00BF0EEB">
        <w:rPr>
          <w:rFonts w:ascii="Times New Roman" w:hAnsi="Times New Roman" w:cs="Times New Roman"/>
          <w:b/>
          <w:bCs/>
          <w:sz w:val="23"/>
          <w:szCs w:val="23"/>
        </w:rPr>
        <w:t xml:space="preserve"> </w:t>
      </w:r>
      <w:r w:rsidRPr="00BF0EEB">
        <w:rPr>
          <w:rFonts w:ascii="Times New Roman" w:hAnsi="Times New Roman" w:cs="Times New Roman"/>
          <w:sz w:val="23"/>
          <w:szCs w:val="23"/>
        </w:rPr>
        <w:t xml:space="preserve">GAC has for long inspired strong commitment among the students with incentive schemes, a technique in attracting, motivating and developing them. The Incentive Scheme comprising Certificate of Proficiency/Appreciation and Cash Award, instituted since 2004-2005, is awarded in two ways –Institutional Scholarship and Individual-sponsored Scholarship. The Awards are handed out to students who excel in the MZU Examinations and MZU Sports as well as College Week under the </w:t>
      </w:r>
      <w:proofErr w:type="spellStart"/>
      <w:r w:rsidRPr="00BF0EEB">
        <w:rPr>
          <w:rFonts w:ascii="Times New Roman" w:hAnsi="Times New Roman" w:cs="Times New Roman"/>
          <w:sz w:val="23"/>
          <w:szCs w:val="23"/>
        </w:rPr>
        <w:t>able</w:t>
      </w:r>
      <w:proofErr w:type="spellEnd"/>
      <w:r w:rsidRPr="00BF0EEB">
        <w:rPr>
          <w:rFonts w:ascii="Times New Roman" w:hAnsi="Times New Roman" w:cs="Times New Roman"/>
          <w:sz w:val="23"/>
          <w:szCs w:val="23"/>
        </w:rPr>
        <w:t xml:space="preserve"> guidance of Felicitation &amp; Award Cell. </w:t>
      </w:r>
    </w:p>
    <w:p w:rsidR="007C1A11" w:rsidRPr="00BF0EEB" w:rsidRDefault="007C1A11" w:rsidP="007C1A11">
      <w:pPr>
        <w:pStyle w:val="Default"/>
        <w:jc w:val="both"/>
        <w:rPr>
          <w:rFonts w:ascii="Times New Roman" w:hAnsi="Times New Roman" w:cs="Times New Roman"/>
          <w:sz w:val="23"/>
          <w:szCs w:val="23"/>
        </w:rPr>
      </w:pPr>
    </w:p>
    <w:p w:rsidR="007C1A11" w:rsidRPr="00BF0EEB" w:rsidRDefault="007C1A11" w:rsidP="007C1A11">
      <w:pPr>
        <w:jc w:val="both"/>
        <w:rPr>
          <w:rFonts w:ascii="Times New Roman" w:hAnsi="Times New Roman" w:cs="Times New Roman"/>
          <w:sz w:val="23"/>
          <w:szCs w:val="23"/>
        </w:rPr>
      </w:pPr>
      <w:r w:rsidRPr="00BF0EEB">
        <w:rPr>
          <w:rFonts w:ascii="Times New Roman" w:hAnsi="Times New Roman" w:cs="Times New Roman"/>
          <w:sz w:val="23"/>
          <w:szCs w:val="23"/>
        </w:rPr>
        <w:t>The Institutional Scholarship borne by the Teaching Faculty comprises of:</w:t>
      </w:r>
      <w:r w:rsidRPr="00BF0EEB">
        <w:rPr>
          <w:rFonts w:ascii="Times New Roman" w:hAnsi="Times New Roman" w:cs="Times New Roman"/>
          <w:sz w:val="23"/>
          <w:szCs w:val="23"/>
        </w:rPr>
        <w:tab/>
      </w:r>
    </w:p>
    <w:p w:rsidR="007C1A11" w:rsidRPr="00BF0EEB" w:rsidRDefault="007C1A11" w:rsidP="007C1A11">
      <w:pPr>
        <w:pStyle w:val="Default"/>
        <w:spacing w:after="166"/>
        <w:jc w:val="both"/>
        <w:rPr>
          <w:rFonts w:ascii="Times New Roman" w:hAnsi="Times New Roman" w:cs="Times New Roman"/>
          <w:sz w:val="23"/>
          <w:szCs w:val="23"/>
        </w:rPr>
      </w:pPr>
      <w:proofErr w:type="spellStart"/>
      <w:r w:rsidRPr="00BF0EEB">
        <w:rPr>
          <w:rFonts w:ascii="Times New Roman" w:hAnsi="Times New Roman" w:cs="Times New Roman"/>
          <w:sz w:val="23"/>
          <w:szCs w:val="23"/>
        </w:rPr>
        <w:t>i</w:t>
      </w:r>
      <w:proofErr w:type="spellEnd"/>
      <w:r w:rsidRPr="00BF0EEB">
        <w:rPr>
          <w:rFonts w:ascii="Times New Roman" w:hAnsi="Times New Roman" w:cs="Times New Roman"/>
          <w:sz w:val="23"/>
          <w:szCs w:val="23"/>
        </w:rPr>
        <w:t xml:space="preserve">) Merit Scholarship with Certificate of Proficiency and  1000/- (rupees one thousand) awarded to Toppers of each core who secure at least a minimum aggregate marks of 60/80% in the Final End Semester Examination; </w:t>
      </w:r>
    </w:p>
    <w:p w:rsidR="007C1A11" w:rsidRPr="00BF0EEB" w:rsidRDefault="007C1A11" w:rsidP="007C1A11">
      <w:pPr>
        <w:pStyle w:val="Default"/>
        <w:jc w:val="both"/>
        <w:rPr>
          <w:rFonts w:ascii="Times New Roman" w:hAnsi="Times New Roman" w:cs="Times New Roman"/>
          <w:sz w:val="23"/>
          <w:szCs w:val="23"/>
        </w:rPr>
      </w:pPr>
      <w:r w:rsidRPr="00BF0EEB">
        <w:rPr>
          <w:rFonts w:ascii="Times New Roman" w:hAnsi="Times New Roman" w:cs="Times New Roman"/>
          <w:sz w:val="23"/>
          <w:szCs w:val="23"/>
        </w:rPr>
        <w:t xml:space="preserve">ii) Merit Scholarship with Certificate of Proficiency </w:t>
      </w:r>
      <w:proofErr w:type="gramStart"/>
      <w:r w:rsidRPr="00BF0EEB">
        <w:rPr>
          <w:rFonts w:ascii="Times New Roman" w:hAnsi="Times New Roman" w:cs="Times New Roman"/>
          <w:sz w:val="23"/>
          <w:szCs w:val="23"/>
        </w:rPr>
        <w:t>and  3000</w:t>
      </w:r>
      <w:proofErr w:type="gramEnd"/>
      <w:r w:rsidRPr="00BF0EEB">
        <w:rPr>
          <w:rFonts w:ascii="Times New Roman" w:hAnsi="Times New Roman" w:cs="Times New Roman"/>
          <w:sz w:val="23"/>
          <w:szCs w:val="23"/>
        </w:rPr>
        <w:t xml:space="preserve">/- (rupees three thousand) awarded to MZU Toppers in each Core in the University Final Examination. </w:t>
      </w:r>
    </w:p>
    <w:p w:rsidR="007C1A11" w:rsidRPr="00BF0EEB" w:rsidRDefault="007C1A11" w:rsidP="007C1A11">
      <w:pPr>
        <w:pStyle w:val="Default"/>
        <w:jc w:val="both"/>
        <w:rPr>
          <w:rFonts w:ascii="Times New Roman" w:hAnsi="Times New Roman" w:cs="Times New Roman"/>
          <w:sz w:val="23"/>
          <w:szCs w:val="23"/>
        </w:rPr>
      </w:pPr>
    </w:p>
    <w:p w:rsidR="007C1A11" w:rsidRPr="00BF0EEB" w:rsidRDefault="007C1A11" w:rsidP="007C1A11">
      <w:pPr>
        <w:pStyle w:val="Default"/>
        <w:jc w:val="both"/>
        <w:rPr>
          <w:rFonts w:ascii="Times New Roman" w:hAnsi="Times New Roman" w:cs="Times New Roman"/>
          <w:sz w:val="23"/>
          <w:szCs w:val="23"/>
        </w:rPr>
      </w:pPr>
    </w:p>
    <w:p w:rsidR="007C1A11" w:rsidRPr="00BF0EEB" w:rsidRDefault="007C1A11" w:rsidP="007C1A11">
      <w:pPr>
        <w:pStyle w:val="Default"/>
        <w:jc w:val="both"/>
        <w:rPr>
          <w:rFonts w:ascii="Times New Roman" w:hAnsi="Times New Roman" w:cs="Times New Roman"/>
          <w:sz w:val="23"/>
          <w:szCs w:val="23"/>
        </w:rPr>
      </w:pPr>
    </w:p>
    <w:p w:rsidR="007C1A11" w:rsidRDefault="007C1A11" w:rsidP="007C1A11">
      <w:pPr>
        <w:pStyle w:val="Default"/>
        <w:jc w:val="both"/>
        <w:rPr>
          <w:rFonts w:ascii="Times New Roman" w:hAnsi="Times New Roman" w:cs="Times New Roman"/>
          <w:sz w:val="23"/>
          <w:szCs w:val="23"/>
        </w:rPr>
      </w:pPr>
    </w:p>
    <w:p w:rsidR="007C1A11" w:rsidRDefault="007C1A11" w:rsidP="007C1A11">
      <w:pPr>
        <w:pStyle w:val="Default"/>
        <w:jc w:val="both"/>
        <w:rPr>
          <w:rFonts w:ascii="Times New Roman" w:hAnsi="Times New Roman" w:cs="Times New Roman"/>
          <w:sz w:val="23"/>
          <w:szCs w:val="23"/>
        </w:rPr>
      </w:pPr>
    </w:p>
    <w:p w:rsidR="007C1A11" w:rsidRDefault="007C1A11" w:rsidP="007C1A11">
      <w:pPr>
        <w:pStyle w:val="Default"/>
        <w:jc w:val="both"/>
        <w:rPr>
          <w:rFonts w:ascii="Times New Roman" w:hAnsi="Times New Roman" w:cs="Times New Roman"/>
          <w:sz w:val="23"/>
          <w:szCs w:val="23"/>
        </w:rPr>
      </w:pPr>
    </w:p>
    <w:p w:rsidR="007C1A11" w:rsidRPr="00BF0EEB" w:rsidRDefault="007C1A11" w:rsidP="007C1A11">
      <w:pPr>
        <w:pStyle w:val="Default"/>
        <w:jc w:val="both"/>
        <w:rPr>
          <w:rFonts w:ascii="Times New Roman" w:hAnsi="Times New Roman" w:cs="Times New Roman"/>
          <w:sz w:val="23"/>
          <w:szCs w:val="23"/>
        </w:rPr>
      </w:pPr>
    </w:p>
    <w:p w:rsidR="007C1A11" w:rsidRPr="00BF0EEB" w:rsidRDefault="007C1A11" w:rsidP="007C1A11">
      <w:pPr>
        <w:pStyle w:val="Default"/>
        <w:jc w:val="both"/>
        <w:rPr>
          <w:rFonts w:ascii="Times New Roman" w:hAnsi="Times New Roman" w:cs="Times New Roman"/>
          <w:sz w:val="23"/>
          <w:szCs w:val="23"/>
        </w:rPr>
      </w:pPr>
    </w:p>
    <w:p w:rsidR="007C1A11" w:rsidRPr="00BF0EEB" w:rsidRDefault="007C1A11" w:rsidP="007C1A11">
      <w:pPr>
        <w:pStyle w:val="Default"/>
        <w:jc w:val="both"/>
        <w:rPr>
          <w:rFonts w:ascii="Times New Roman" w:hAnsi="Times New Roman" w:cs="Times New Roman"/>
          <w:sz w:val="23"/>
          <w:szCs w:val="23"/>
        </w:rPr>
      </w:pPr>
      <w:r w:rsidRPr="00BF0EEB">
        <w:rPr>
          <w:rFonts w:ascii="Times New Roman" w:hAnsi="Times New Roman" w:cs="Times New Roman"/>
          <w:sz w:val="23"/>
          <w:szCs w:val="23"/>
        </w:rPr>
        <w:t xml:space="preserve">Individual-sponsored Scholarship comprises of: </w:t>
      </w:r>
    </w:p>
    <w:p w:rsidR="007C1A11" w:rsidRPr="00BF0EEB" w:rsidRDefault="007C1A11" w:rsidP="007C1A11">
      <w:pPr>
        <w:pStyle w:val="Default"/>
        <w:jc w:val="both"/>
        <w:rPr>
          <w:rFonts w:ascii="Times New Roman" w:hAnsi="Times New Roman" w:cs="Times New Roman"/>
          <w:sz w:val="23"/>
          <w:szCs w:val="23"/>
        </w:rPr>
      </w:pPr>
    </w:p>
    <w:p w:rsidR="007C1A11" w:rsidRPr="00BF0EEB" w:rsidRDefault="007C1A11" w:rsidP="007C1A11">
      <w:pPr>
        <w:pStyle w:val="Default"/>
        <w:spacing w:after="166"/>
        <w:jc w:val="both"/>
        <w:rPr>
          <w:rFonts w:ascii="Times New Roman" w:hAnsi="Times New Roman" w:cs="Times New Roman"/>
          <w:sz w:val="23"/>
          <w:szCs w:val="23"/>
        </w:rPr>
      </w:pPr>
      <w:proofErr w:type="spellStart"/>
      <w:r w:rsidRPr="00BF0EEB">
        <w:rPr>
          <w:rFonts w:ascii="Times New Roman" w:hAnsi="Times New Roman" w:cs="Times New Roman"/>
          <w:sz w:val="23"/>
          <w:szCs w:val="23"/>
        </w:rPr>
        <w:t>i</w:t>
      </w:r>
      <w:proofErr w:type="spellEnd"/>
      <w:r w:rsidRPr="00BF0EEB">
        <w:rPr>
          <w:rFonts w:ascii="Times New Roman" w:hAnsi="Times New Roman" w:cs="Times New Roman"/>
          <w:sz w:val="23"/>
          <w:szCs w:val="23"/>
        </w:rPr>
        <w:t xml:space="preserve">) Merit Scholarship with Certificate of Proficiency and ` 5000/- (rupees five thousand)sponsored by the first Principal of GAC, Dr. H. </w:t>
      </w:r>
      <w:proofErr w:type="spellStart"/>
      <w:r w:rsidRPr="00BF0EEB">
        <w:rPr>
          <w:rFonts w:ascii="Times New Roman" w:hAnsi="Times New Roman" w:cs="Times New Roman"/>
          <w:sz w:val="23"/>
          <w:szCs w:val="23"/>
        </w:rPr>
        <w:t>Thansanga</w:t>
      </w:r>
      <w:proofErr w:type="spellEnd"/>
      <w:r w:rsidRPr="00BF0EEB">
        <w:rPr>
          <w:rFonts w:ascii="Times New Roman" w:hAnsi="Times New Roman" w:cs="Times New Roman"/>
          <w:sz w:val="23"/>
          <w:szCs w:val="23"/>
        </w:rPr>
        <w:t xml:space="preserve">, is awarded to MZU Toppers in each Core in the University Final Examination; </w:t>
      </w:r>
    </w:p>
    <w:p w:rsidR="007C1A11" w:rsidRPr="00BF0EEB" w:rsidRDefault="007C1A11" w:rsidP="007C1A11">
      <w:pPr>
        <w:pStyle w:val="Default"/>
        <w:spacing w:after="166"/>
        <w:jc w:val="both"/>
        <w:rPr>
          <w:rFonts w:ascii="Times New Roman" w:hAnsi="Times New Roman" w:cs="Times New Roman"/>
          <w:sz w:val="23"/>
          <w:szCs w:val="23"/>
        </w:rPr>
      </w:pPr>
      <w:r w:rsidRPr="00BF0EEB">
        <w:rPr>
          <w:rFonts w:ascii="Times New Roman" w:hAnsi="Times New Roman" w:cs="Times New Roman"/>
          <w:sz w:val="23"/>
          <w:szCs w:val="23"/>
        </w:rPr>
        <w:t xml:space="preserve">ii) R. </w:t>
      </w:r>
      <w:proofErr w:type="spellStart"/>
      <w:r w:rsidRPr="00BF0EEB">
        <w:rPr>
          <w:rFonts w:ascii="Times New Roman" w:hAnsi="Times New Roman" w:cs="Times New Roman"/>
          <w:sz w:val="23"/>
          <w:szCs w:val="23"/>
        </w:rPr>
        <w:t>Biaksanga</w:t>
      </w:r>
      <w:proofErr w:type="spellEnd"/>
      <w:r w:rsidRPr="00BF0EEB">
        <w:rPr>
          <w:rFonts w:ascii="Times New Roman" w:hAnsi="Times New Roman" w:cs="Times New Roman"/>
          <w:sz w:val="23"/>
          <w:szCs w:val="23"/>
        </w:rPr>
        <w:t xml:space="preserve">, the sixth Principal of GAC, Sports Award with Certificate of Appreciation and ` 1000/-(rupees one thousand) each to the Best Boy and the Best Girl; </w:t>
      </w:r>
    </w:p>
    <w:p w:rsidR="007C1A11" w:rsidRPr="00BF0EEB" w:rsidRDefault="007C1A11" w:rsidP="007C1A11">
      <w:pPr>
        <w:pStyle w:val="Default"/>
        <w:spacing w:after="166"/>
        <w:jc w:val="both"/>
        <w:rPr>
          <w:rFonts w:ascii="Times New Roman" w:hAnsi="Times New Roman" w:cs="Times New Roman"/>
          <w:sz w:val="23"/>
          <w:szCs w:val="23"/>
        </w:rPr>
      </w:pPr>
      <w:r w:rsidRPr="00BF0EEB">
        <w:rPr>
          <w:rFonts w:ascii="Times New Roman" w:hAnsi="Times New Roman" w:cs="Times New Roman"/>
          <w:sz w:val="23"/>
          <w:szCs w:val="23"/>
        </w:rPr>
        <w:t xml:space="preserve">iii) Dr. </w:t>
      </w:r>
      <w:proofErr w:type="spellStart"/>
      <w:r w:rsidRPr="00BF0EEB">
        <w:rPr>
          <w:rFonts w:ascii="Times New Roman" w:hAnsi="Times New Roman" w:cs="Times New Roman"/>
          <w:sz w:val="23"/>
          <w:szCs w:val="23"/>
        </w:rPr>
        <w:t>Lalthansangi</w:t>
      </w:r>
      <w:proofErr w:type="spellEnd"/>
      <w:r w:rsidRPr="00BF0EEB">
        <w:rPr>
          <w:rFonts w:ascii="Times New Roman" w:hAnsi="Times New Roman" w:cs="Times New Roman"/>
          <w:sz w:val="23"/>
          <w:szCs w:val="23"/>
        </w:rPr>
        <w:t xml:space="preserve"> Award with Certificate of Appreciation and ` 1000/- (rupees one thousand) each to Champion in Major Games in MZU Sports; </w:t>
      </w:r>
    </w:p>
    <w:p w:rsidR="007C1A11" w:rsidRPr="00BF0EEB" w:rsidRDefault="007C1A11" w:rsidP="007C1A11">
      <w:pPr>
        <w:pStyle w:val="Default"/>
        <w:spacing w:after="166"/>
        <w:jc w:val="both"/>
        <w:rPr>
          <w:rFonts w:ascii="Times New Roman" w:hAnsi="Times New Roman" w:cs="Times New Roman"/>
          <w:sz w:val="23"/>
          <w:szCs w:val="23"/>
        </w:rPr>
      </w:pPr>
      <w:r w:rsidRPr="00BF0EEB">
        <w:rPr>
          <w:rFonts w:ascii="Times New Roman" w:hAnsi="Times New Roman" w:cs="Times New Roman"/>
          <w:sz w:val="23"/>
          <w:szCs w:val="23"/>
        </w:rPr>
        <w:t xml:space="preserve">iv) </w:t>
      </w:r>
      <w:proofErr w:type="spellStart"/>
      <w:r w:rsidRPr="00BF0EEB">
        <w:rPr>
          <w:rFonts w:ascii="Times New Roman" w:hAnsi="Times New Roman" w:cs="Times New Roman"/>
          <w:sz w:val="23"/>
          <w:szCs w:val="23"/>
        </w:rPr>
        <w:t>Zochungnunga</w:t>
      </w:r>
      <w:proofErr w:type="spellEnd"/>
      <w:r w:rsidRPr="00BF0EEB">
        <w:rPr>
          <w:rFonts w:ascii="Times New Roman" w:hAnsi="Times New Roman" w:cs="Times New Roman"/>
          <w:sz w:val="23"/>
          <w:szCs w:val="23"/>
        </w:rPr>
        <w:t xml:space="preserve"> Award with Certificate of Appreciation and ` 1000/- (rupees one thousand) each to the Best Essayist, the Best </w:t>
      </w:r>
      <w:proofErr w:type="spellStart"/>
      <w:r w:rsidRPr="00BF0EEB">
        <w:rPr>
          <w:rFonts w:ascii="Times New Roman" w:hAnsi="Times New Roman" w:cs="Times New Roman"/>
          <w:sz w:val="23"/>
          <w:szCs w:val="23"/>
        </w:rPr>
        <w:t>Debator</w:t>
      </w:r>
      <w:proofErr w:type="spellEnd"/>
      <w:r w:rsidRPr="00BF0EEB">
        <w:rPr>
          <w:rFonts w:ascii="Times New Roman" w:hAnsi="Times New Roman" w:cs="Times New Roman"/>
          <w:sz w:val="23"/>
          <w:szCs w:val="23"/>
        </w:rPr>
        <w:t xml:space="preserve"> and the Best Poetry Composer in the Annual College Week Competition; </w:t>
      </w:r>
    </w:p>
    <w:p w:rsidR="007C1A11" w:rsidRPr="00BF0EEB" w:rsidRDefault="007C1A11" w:rsidP="007C1A11">
      <w:pPr>
        <w:pStyle w:val="Default"/>
        <w:spacing w:after="166"/>
        <w:jc w:val="both"/>
        <w:rPr>
          <w:rFonts w:ascii="Times New Roman" w:hAnsi="Times New Roman" w:cs="Times New Roman"/>
          <w:sz w:val="23"/>
          <w:szCs w:val="23"/>
        </w:rPr>
      </w:pPr>
      <w:r w:rsidRPr="00BF0EEB">
        <w:rPr>
          <w:rFonts w:ascii="Times New Roman" w:hAnsi="Times New Roman" w:cs="Times New Roman"/>
          <w:sz w:val="23"/>
          <w:szCs w:val="23"/>
        </w:rPr>
        <w:t xml:space="preserve">v) Dr. </w:t>
      </w:r>
      <w:proofErr w:type="spellStart"/>
      <w:r w:rsidRPr="00BF0EEB">
        <w:rPr>
          <w:rFonts w:ascii="Times New Roman" w:hAnsi="Times New Roman" w:cs="Times New Roman"/>
          <w:sz w:val="23"/>
          <w:szCs w:val="23"/>
        </w:rPr>
        <w:t>Lalthansangi</w:t>
      </w:r>
      <w:proofErr w:type="spellEnd"/>
      <w:r w:rsidRPr="00BF0EEB">
        <w:rPr>
          <w:rFonts w:ascii="Times New Roman" w:hAnsi="Times New Roman" w:cs="Times New Roman"/>
          <w:sz w:val="23"/>
          <w:szCs w:val="23"/>
        </w:rPr>
        <w:t xml:space="preserve"> </w:t>
      </w:r>
      <w:proofErr w:type="spellStart"/>
      <w:r w:rsidRPr="00BF0EEB">
        <w:rPr>
          <w:rFonts w:ascii="Times New Roman" w:hAnsi="Times New Roman" w:cs="Times New Roman"/>
          <w:sz w:val="23"/>
          <w:szCs w:val="23"/>
        </w:rPr>
        <w:t>Fanai</w:t>
      </w:r>
      <w:proofErr w:type="spellEnd"/>
      <w:r w:rsidRPr="00BF0EEB">
        <w:rPr>
          <w:rFonts w:ascii="Times New Roman" w:hAnsi="Times New Roman" w:cs="Times New Roman"/>
          <w:sz w:val="23"/>
          <w:szCs w:val="23"/>
        </w:rPr>
        <w:t xml:space="preserve"> Award with Certificate of Appreciation and ` 1000/- (rupees one thousand) each to Champion Team in Indoor Games in MZU Sports; </w:t>
      </w:r>
    </w:p>
    <w:p w:rsidR="007C1A11" w:rsidRPr="00BF0EEB" w:rsidRDefault="007C1A11" w:rsidP="007C1A11">
      <w:pPr>
        <w:pStyle w:val="Default"/>
        <w:spacing w:after="166"/>
        <w:jc w:val="both"/>
        <w:rPr>
          <w:rFonts w:ascii="Times New Roman" w:hAnsi="Times New Roman" w:cs="Times New Roman"/>
          <w:sz w:val="23"/>
          <w:szCs w:val="23"/>
        </w:rPr>
      </w:pPr>
      <w:r w:rsidRPr="00BF0EEB">
        <w:rPr>
          <w:rFonts w:ascii="Times New Roman" w:hAnsi="Times New Roman" w:cs="Times New Roman"/>
          <w:sz w:val="23"/>
          <w:szCs w:val="23"/>
        </w:rPr>
        <w:t xml:space="preserve">vi) Rebecca </w:t>
      </w:r>
      <w:proofErr w:type="spellStart"/>
      <w:r w:rsidRPr="00BF0EEB">
        <w:rPr>
          <w:rFonts w:ascii="Times New Roman" w:hAnsi="Times New Roman" w:cs="Times New Roman"/>
          <w:sz w:val="23"/>
          <w:szCs w:val="23"/>
        </w:rPr>
        <w:t>Lalhmangaihi</w:t>
      </w:r>
      <w:proofErr w:type="spellEnd"/>
      <w:r w:rsidRPr="00BF0EEB">
        <w:rPr>
          <w:rFonts w:ascii="Times New Roman" w:hAnsi="Times New Roman" w:cs="Times New Roman"/>
          <w:sz w:val="23"/>
          <w:szCs w:val="23"/>
        </w:rPr>
        <w:t xml:space="preserve"> Award with Certificate of Proficiency and ` 1000/- (rupees one thousand) to the student, irrespective of his/her class, securing the highest marks in Core Hindi; </w:t>
      </w:r>
    </w:p>
    <w:p w:rsidR="007C1A11" w:rsidRPr="00BF0EEB" w:rsidRDefault="007C1A11" w:rsidP="007C1A11">
      <w:pPr>
        <w:pStyle w:val="Default"/>
        <w:spacing w:after="166"/>
        <w:jc w:val="both"/>
        <w:rPr>
          <w:rFonts w:ascii="Times New Roman" w:hAnsi="Times New Roman" w:cs="Times New Roman"/>
          <w:sz w:val="23"/>
          <w:szCs w:val="23"/>
        </w:rPr>
      </w:pPr>
      <w:r w:rsidRPr="00BF0EEB">
        <w:rPr>
          <w:rFonts w:ascii="Times New Roman" w:hAnsi="Times New Roman" w:cs="Times New Roman"/>
          <w:sz w:val="23"/>
          <w:szCs w:val="23"/>
        </w:rPr>
        <w:t xml:space="preserve">vii) Class of the Year &amp; Student of the Year sponsored by Dr. H. </w:t>
      </w:r>
      <w:proofErr w:type="spellStart"/>
      <w:r w:rsidRPr="00BF0EEB">
        <w:rPr>
          <w:rFonts w:ascii="Times New Roman" w:hAnsi="Times New Roman" w:cs="Times New Roman"/>
          <w:sz w:val="23"/>
          <w:szCs w:val="23"/>
        </w:rPr>
        <w:t>Ngurdingliana</w:t>
      </w:r>
      <w:proofErr w:type="spellEnd"/>
      <w:r w:rsidRPr="00BF0EEB">
        <w:rPr>
          <w:rFonts w:ascii="Times New Roman" w:hAnsi="Times New Roman" w:cs="Times New Roman"/>
          <w:sz w:val="23"/>
          <w:szCs w:val="23"/>
        </w:rPr>
        <w:t xml:space="preserve">, an Alumni member; </w:t>
      </w:r>
    </w:p>
    <w:p w:rsidR="007C1A11" w:rsidRPr="00BF0EEB" w:rsidRDefault="007C1A11" w:rsidP="007C1A11">
      <w:pPr>
        <w:pStyle w:val="Default"/>
        <w:jc w:val="both"/>
        <w:rPr>
          <w:rFonts w:ascii="Times New Roman" w:hAnsi="Times New Roman" w:cs="Times New Roman"/>
          <w:sz w:val="23"/>
          <w:szCs w:val="23"/>
        </w:rPr>
      </w:pPr>
      <w:r w:rsidRPr="00BF0EEB">
        <w:rPr>
          <w:rFonts w:ascii="Times New Roman" w:hAnsi="Times New Roman" w:cs="Times New Roman"/>
          <w:sz w:val="23"/>
          <w:szCs w:val="23"/>
        </w:rPr>
        <w:t xml:space="preserve">viii) Students’ Union Leader of the Year sponsored by </w:t>
      </w:r>
      <w:proofErr w:type="spellStart"/>
      <w:r w:rsidRPr="00BF0EEB">
        <w:rPr>
          <w:rFonts w:ascii="Times New Roman" w:hAnsi="Times New Roman" w:cs="Times New Roman"/>
          <w:sz w:val="23"/>
          <w:szCs w:val="23"/>
        </w:rPr>
        <w:t>Lalremliana</w:t>
      </w:r>
      <w:proofErr w:type="spellEnd"/>
      <w:r w:rsidRPr="00BF0EEB">
        <w:rPr>
          <w:rFonts w:ascii="Times New Roman" w:hAnsi="Times New Roman" w:cs="Times New Roman"/>
          <w:sz w:val="23"/>
          <w:szCs w:val="23"/>
        </w:rPr>
        <w:t xml:space="preserve">, Principal of the College. </w:t>
      </w:r>
    </w:p>
    <w:p w:rsidR="007C1A11" w:rsidRPr="00BF0EEB" w:rsidRDefault="007C1A11" w:rsidP="007C1A11">
      <w:pPr>
        <w:pStyle w:val="Default"/>
        <w:jc w:val="both"/>
        <w:rPr>
          <w:rFonts w:ascii="Times New Roman" w:hAnsi="Times New Roman" w:cs="Times New Roman"/>
          <w:sz w:val="23"/>
          <w:szCs w:val="23"/>
        </w:rPr>
      </w:pPr>
    </w:p>
    <w:p w:rsidR="007C1A11" w:rsidRPr="00BF0EEB" w:rsidRDefault="007C1A11" w:rsidP="007C1A11">
      <w:pPr>
        <w:jc w:val="both"/>
        <w:rPr>
          <w:rFonts w:ascii="Times New Roman" w:hAnsi="Times New Roman" w:cs="Times New Roman"/>
          <w:sz w:val="23"/>
          <w:szCs w:val="23"/>
        </w:rPr>
      </w:pPr>
      <w:r w:rsidRPr="00BF0EEB">
        <w:rPr>
          <w:rFonts w:ascii="Times New Roman" w:hAnsi="Times New Roman" w:cs="Times New Roman"/>
          <w:sz w:val="23"/>
          <w:szCs w:val="23"/>
        </w:rPr>
        <w:t xml:space="preserve">The selfless conscious participation of faculty and individual donors and the active </w:t>
      </w:r>
      <w:proofErr w:type="spellStart"/>
      <w:r w:rsidRPr="00BF0EEB">
        <w:rPr>
          <w:rFonts w:ascii="Times New Roman" w:hAnsi="Times New Roman" w:cs="Times New Roman"/>
          <w:sz w:val="23"/>
          <w:szCs w:val="23"/>
        </w:rPr>
        <w:t>labour</w:t>
      </w:r>
      <w:proofErr w:type="spellEnd"/>
      <w:r w:rsidRPr="00BF0EEB">
        <w:rPr>
          <w:rFonts w:ascii="Times New Roman" w:hAnsi="Times New Roman" w:cs="Times New Roman"/>
          <w:sz w:val="23"/>
          <w:szCs w:val="23"/>
        </w:rPr>
        <w:t xml:space="preserve"> of the students make this a successful practice.</w:t>
      </w:r>
      <w:r w:rsidRPr="00BF0EEB">
        <w:rPr>
          <w:rFonts w:ascii="Times New Roman" w:hAnsi="Times New Roman" w:cs="Times New Roman"/>
          <w:sz w:val="23"/>
          <w:szCs w:val="23"/>
        </w:rPr>
        <w:tab/>
      </w:r>
    </w:p>
    <w:p w:rsidR="007C1A11" w:rsidRDefault="007C1A11" w:rsidP="007C1A11">
      <w:pPr>
        <w:jc w:val="both"/>
        <w:rPr>
          <w:rFonts w:ascii="Times New Roman" w:hAnsi="Times New Roman" w:cs="Times New Roman"/>
          <w:b/>
          <w:bCs/>
          <w:sz w:val="23"/>
          <w:szCs w:val="23"/>
        </w:rPr>
      </w:pPr>
      <w:r w:rsidRPr="00BF0EEB">
        <w:rPr>
          <w:rFonts w:ascii="Times New Roman" w:hAnsi="Times New Roman" w:cs="Times New Roman"/>
          <w:b/>
          <w:bCs/>
          <w:sz w:val="23"/>
          <w:szCs w:val="23"/>
        </w:rPr>
        <w:t xml:space="preserve">5. Evidence of Success </w:t>
      </w:r>
    </w:p>
    <w:p w:rsidR="007C1A11" w:rsidRPr="00BF0EEB" w:rsidRDefault="007C1A11" w:rsidP="007C1A11">
      <w:pPr>
        <w:jc w:val="both"/>
        <w:rPr>
          <w:rFonts w:ascii="Times New Roman" w:hAnsi="Times New Roman" w:cs="Times New Roman"/>
          <w:sz w:val="23"/>
          <w:szCs w:val="23"/>
        </w:rPr>
      </w:pPr>
      <w:r w:rsidRPr="00BF0EEB">
        <w:rPr>
          <w:rFonts w:ascii="Times New Roman" w:hAnsi="Times New Roman" w:cs="Times New Roman"/>
          <w:sz w:val="23"/>
          <w:szCs w:val="23"/>
        </w:rPr>
        <w:t>That the practice imbibes accountability among GAC students is seen in the unbroken number of student-achievers who have become members of teaching faculty in various colleges and other educational institutions, politicians, developing entrepreneurs, scholars and others who serve the society the best way they can. The Incentive Scheme does prompt them to be their best selves and the college culture that fosters collaboration and provides opportunities for students to lead has helped in promoting a healthy-productive competition. This practice not only develops healthy interests in the students but also indirectly improves the quality of the teachers who are rewarded with feelings of well-being seeing their students improve and excel.</w:t>
      </w:r>
    </w:p>
    <w:p w:rsidR="007C1A11" w:rsidRDefault="007C1A11" w:rsidP="007C1A11">
      <w:pPr>
        <w:jc w:val="both"/>
        <w:rPr>
          <w:rFonts w:ascii="Times New Roman" w:hAnsi="Times New Roman" w:cs="Times New Roman"/>
          <w:b/>
          <w:bCs/>
          <w:sz w:val="23"/>
          <w:szCs w:val="23"/>
        </w:rPr>
      </w:pPr>
      <w:r w:rsidRPr="00BF0EEB">
        <w:rPr>
          <w:rFonts w:ascii="Times New Roman" w:hAnsi="Times New Roman" w:cs="Times New Roman"/>
          <w:sz w:val="23"/>
          <w:szCs w:val="23"/>
        </w:rPr>
        <w:t xml:space="preserve"> </w:t>
      </w:r>
      <w:r w:rsidRPr="00BF0EEB">
        <w:rPr>
          <w:rFonts w:ascii="Times New Roman" w:hAnsi="Times New Roman" w:cs="Times New Roman"/>
          <w:b/>
          <w:bCs/>
          <w:sz w:val="23"/>
          <w:szCs w:val="23"/>
        </w:rPr>
        <w:t>6. Problems Encountered and Resources</w:t>
      </w:r>
    </w:p>
    <w:p w:rsidR="007C1A11" w:rsidRPr="00BF0EEB" w:rsidRDefault="007C1A11" w:rsidP="007C1A11">
      <w:pPr>
        <w:jc w:val="both"/>
        <w:rPr>
          <w:rFonts w:ascii="Times New Roman" w:hAnsi="Times New Roman" w:cs="Times New Roman"/>
          <w:b/>
          <w:lang w:val="en-IN"/>
        </w:rPr>
      </w:pPr>
      <w:r w:rsidRPr="00BF0EEB">
        <w:rPr>
          <w:rFonts w:ascii="Times New Roman" w:hAnsi="Times New Roman" w:cs="Times New Roman"/>
          <w:b/>
          <w:bCs/>
          <w:sz w:val="23"/>
          <w:szCs w:val="23"/>
        </w:rPr>
        <w:t xml:space="preserve"> </w:t>
      </w:r>
      <w:r w:rsidRPr="00BF0EEB">
        <w:rPr>
          <w:rFonts w:ascii="Times New Roman" w:hAnsi="Times New Roman" w:cs="Times New Roman"/>
          <w:sz w:val="23"/>
          <w:szCs w:val="23"/>
        </w:rPr>
        <w:t>Financed by faculty members and individual donors and with no evidence of negative student outcomes on account of the practice there is no issue of problem till d</w:t>
      </w:r>
      <w:r>
        <w:rPr>
          <w:rFonts w:ascii="Times New Roman" w:hAnsi="Times New Roman" w:cs="Times New Roman"/>
          <w:sz w:val="23"/>
          <w:szCs w:val="23"/>
        </w:rPr>
        <w:t>ate.</w:t>
      </w:r>
    </w:p>
    <w:p w:rsidR="007C1A11" w:rsidRDefault="007C1A11" w:rsidP="007C1A11">
      <w:pPr>
        <w:jc w:val="center"/>
        <w:rPr>
          <w:rFonts w:ascii="Times New Roman" w:hAnsi="Times New Roman" w:cs="Times New Roman"/>
          <w:b/>
          <w:lang w:val="en-IN"/>
        </w:rPr>
      </w:pPr>
    </w:p>
    <w:p w:rsidR="007C1A11" w:rsidRPr="00BF0EEB" w:rsidRDefault="007C1A11" w:rsidP="007C1A11">
      <w:pPr>
        <w:jc w:val="center"/>
        <w:rPr>
          <w:rFonts w:ascii="Times New Roman" w:hAnsi="Times New Roman" w:cs="Times New Roman"/>
          <w:b/>
          <w:lang w:val="en-IN"/>
        </w:rPr>
      </w:pPr>
      <w:r w:rsidRPr="00BF0EEB">
        <w:rPr>
          <w:rFonts w:ascii="Times New Roman" w:hAnsi="Times New Roman" w:cs="Times New Roman"/>
          <w:b/>
          <w:lang w:val="en-IN"/>
        </w:rPr>
        <w:lastRenderedPageBreak/>
        <w:t>Best Practice 2</w:t>
      </w:r>
      <w:r>
        <w:rPr>
          <w:rFonts w:ascii="Times New Roman" w:hAnsi="Times New Roman" w:cs="Times New Roman"/>
          <w:b/>
          <w:lang w:val="en-IN"/>
        </w:rPr>
        <w:t xml:space="preserve"> (2019-2020</w:t>
      </w:r>
      <w:r w:rsidRPr="00BF0EEB">
        <w:rPr>
          <w:rFonts w:ascii="Times New Roman" w:hAnsi="Times New Roman" w:cs="Times New Roman"/>
          <w:b/>
          <w:lang w:val="en-IN"/>
        </w:rPr>
        <w:t>)</w:t>
      </w:r>
    </w:p>
    <w:p w:rsidR="007C1A11" w:rsidRPr="00BF0EEB" w:rsidRDefault="007C1A11" w:rsidP="007C1A11">
      <w:pPr>
        <w:jc w:val="center"/>
        <w:rPr>
          <w:rFonts w:ascii="Times New Roman" w:hAnsi="Times New Roman" w:cs="Times New Roman"/>
          <w:b/>
          <w:lang w:val="en-IN"/>
        </w:rPr>
      </w:pPr>
      <w:r w:rsidRPr="00BF0EEB">
        <w:rPr>
          <w:rFonts w:ascii="Times New Roman" w:hAnsi="Times New Roman" w:cs="Times New Roman"/>
          <w:b/>
          <w:lang w:val="en-IN"/>
        </w:rPr>
        <w:t>DEPARTMENT MONTHLY REPORT</w:t>
      </w:r>
    </w:p>
    <w:p w:rsidR="007C1A11" w:rsidRPr="00BF0EEB" w:rsidRDefault="007C1A11" w:rsidP="007C1A11">
      <w:pPr>
        <w:pStyle w:val="NoSpacing"/>
        <w:rPr>
          <w:rFonts w:ascii="Times New Roman" w:hAnsi="Times New Roman" w:cs="Times New Roman"/>
          <w:lang w:val="en-IN"/>
        </w:rPr>
      </w:pPr>
    </w:p>
    <w:p w:rsidR="007C1A11" w:rsidRPr="00BF0EEB" w:rsidRDefault="007C1A11" w:rsidP="007C1A11">
      <w:pPr>
        <w:pStyle w:val="NoSpacing"/>
        <w:numPr>
          <w:ilvl w:val="0"/>
          <w:numId w:val="1"/>
        </w:numPr>
        <w:ind w:left="284" w:hanging="284"/>
        <w:rPr>
          <w:rFonts w:ascii="Times New Roman" w:hAnsi="Times New Roman" w:cs="Times New Roman"/>
          <w:lang w:val="en-IN"/>
        </w:rPr>
      </w:pPr>
      <w:r w:rsidRPr="00BF0EEB">
        <w:rPr>
          <w:rFonts w:ascii="Times New Roman" w:hAnsi="Times New Roman" w:cs="Times New Roman"/>
          <w:b/>
          <w:lang w:val="en-IN"/>
        </w:rPr>
        <w:t>Title of the Practice:</w:t>
      </w:r>
      <w:r w:rsidRPr="00BF0EEB">
        <w:rPr>
          <w:rFonts w:ascii="Times New Roman" w:hAnsi="Times New Roman" w:cs="Times New Roman"/>
          <w:b/>
          <w:lang w:val="en-IN"/>
        </w:rPr>
        <w:tab/>
        <w:t>Department Monthly Report</w:t>
      </w:r>
    </w:p>
    <w:p w:rsidR="007C1A11" w:rsidRPr="00BF0EEB" w:rsidRDefault="007C1A11" w:rsidP="007C1A11">
      <w:pPr>
        <w:pStyle w:val="NoSpacing"/>
        <w:ind w:left="284"/>
        <w:rPr>
          <w:rFonts w:ascii="Times New Roman" w:hAnsi="Times New Roman" w:cs="Times New Roman"/>
          <w:lang w:val="en-IN"/>
        </w:rPr>
      </w:pPr>
    </w:p>
    <w:p w:rsidR="007C1A11" w:rsidRPr="00BF0EEB" w:rsidRDefault="007C1A11" w:rsidP="007C1A11">
      <w:pPr>
        <w:pStyle w:val="NoSpacing"/>
        <w:numPr>
          <w:ilvl w:val="0"/>
          <w:numId w:val="1"/>
        </w:numPr>
        <w:ind w:left="284" w:hanging="284"/>
        <w:rPr>
          <w:rFonts w:ascii="Times New Roman" w:hAnsi="Times New Roman" w:cs="Times New Roman"/>
          <w:lang w:val="en-IN"/>
        </w:rPr>
      </w:pPr>
      <w:r w:rsidRPr="00BF0EEB">
        <w:rPr>
          <w:rFonts w:ascii="Times New Roman" w:hAnsi="Times New Roman" w:cs="Times New Roman"/>
          <w:b/>
          <w:lang w:val="en-IN"/>
        </w:rPr>
        <w:t>Objective of  the Practice</w:t>
      </w:r>
      <w:r>
        <w:rPr>
          <w:rFonts w:ascii="Times New Roman" w:hAnsi="Times New Roman" w:cs="Times New Roman"/>
          <w:b/>
          <w:lang w:val="en-IN"/>
        </w:rPr>
        <w:tab/>
      </w:r>
      <w:r w:rsidRPr="00BF0EEB">
        <w:rPr>
          <w:rFonts w:ascii="Times New Roman" w:hAnsi="Times New Roman" w:cs="Times New Roman"/>
          <w:b/>
          <w:lang w:val="en-IN"/>
        </w:rPr>
        <w:t>:</w:t>
      </w:r>
      <w:r>
        <w:rPr>
          <w:rFonts w:ascii="Times New Roman" w:hAnsi="Times New Roman" w:cs="Times New Roman"/>
          <w:b/>
          <w:lang w:val="en-IN"/>
        </w:rPr>
        <w:t xml:space="preserve"> </w:t>
      </w:r>
      <w:r w:rsidRPr="00BF0EEB">
        <w:rPr>
          <w:rFonts w:ascii="Times New Roman" w:hAnsi="Times New Roman" w:cs="Times New Roman"/>
          <w:lang w:val="en-IN"/>
        </w:rPr>
        <w:t xml:space="preserve">Inculcate the spirit of accountability among the faculty by assessing the </w:t>
      </w:r>
    </w:p>
    <w:p w:rsidR="007C1A11" w:rsidRPr="00BF0EEB" w:rsidRDefault="007C1A11" w:rsidP="007C1A11">
      <w:pPr>
        <w:pStyle w:val="NoSpacing"/>
        <w:ind w:left="2880"/>
        <w:rPr>
          <w:rFonts w:ascii="Times New Roman" w:hAnsi="Times New Roman" w:cs="Times New Roman"/>
          <w:lang w:val="en-IN"/>
        </w:rPr>
      </w:pPr>
      <w:proofErr w:type="gramStart"/>
      <w:r w:rsidRPr="00BF0EEB">
        <w:rPr>
          <w:rFonts w:ascii="Times New Roman" w:hAnsi="Times New Roman" w:cs="Times New Roman"/>
          <w:lang w:val="en-IN"/>
        </w:rPr>
        <w:t>academic</w:t>
      </w:r>
      <w:proofErr w:type="gramEnd"/>
      <w:r w:rsidRPr="00BF0EEB">
        <w:rPr>
          <w:rFonts w:ascii="Times New Roman" w:hAnsi="Times New Roman" w:cs="Times New Roman"/>
          <w:lang w:val="en-IN"/>
        </w:rPr>
        <w:t xml:space="preserve"> performance of individual faculty in a department and the academic performance of the department as a whole.     </w:t>
      </w:r>
    </w:p>
    <w:p w:rsidR="007C1A11" w:rsidRPr="00BF0EEB" w:rsidRDefault="007C1A11" w:rsidP="007C1A11">
      <w:pPr>
        <w:pStyle w:val="NoSpacing"/>
        <w:ind w:left="2880" w:firstLine="180"/>
        <w:rPr>
          <w:rFonts w:ascii="Times New Roman" w:hAnsi="Times New Roman" w:cs="Times New Roman"/>
          <w:lang w:val="en-IN"/>
        </w:rPr>
      </w:pPr>
      <w:r w:rsidRPr="00BF0EEB">
        <w:rPr>
          <w:rFonts w:ascii="Times New Roman" w:hAnsi="Times New Roman" w:cs="Times New Roman"/>
          <w:lang w:val="en-IN"/>
        </w:rPr>
        <w:t xml:space="preserve"> </w:t>
      </w:r>
    </w:p>
    <w:p w:rsidR="007C1A11" w:rsidRPr="00BF0EEB" w:rsidRDefault="007C1A11" w:rsidP="007C1A11">
      <w:pPr>
        <w:pStyle w:val="NoSpacing"/>
        <w:ind w:left="2879" w:hanging="2595"/>
        <w:rPr>
          <w:rFonts w:ascii="Times New Roman" w:hAnsi="Times New Roman" w:cs="Times New Roman"/>
          <w:b/>
          <w:lang w:val="en-IN"/>
        </w:rPr>
      </w:pPr>
      <w:proofErr w:type="gramStart"/>
      <w:r w:rsidRPr="00BF0EEB">
        <w:rPr>
          <w:rFonts w:ascii="Times New Roman" w:hAnsi="Times New Roman" w:cs="Times New Roman"/>
          <w:b/>
          <w:lang w:val="en-IN"/>
        </w:rPr>
        <w:t>Intended Outcome</w:t>
      </w:r>
      <w:r>
        <w:rPr>
          <w:rFonts w:ascii="Times New Roman" w:hAnsi="Times New Roman" w:cs="Times New Roman"/>
          <w:b/>
          <w:lang w:val="en-IN"/>
        </w:rPr>
        <w:tab/>
      </w:r>
      <w:r w:rsidRPr="00BF0EEB">
        <w:rPr>
          <w:rFonts w:ascii="Times New Roman" w:hAnsi="Times New Roman" w:cs="Times New Roman"/>
          <w:b/>
          <w:lang w:val="en-IN"/>
        </w:rPr>
        <w:t xml:space="preserve">: </w:t>
      </w:r>
      <w:r w:rsidRPr="00BF0EEB">
        <w:rPr>
          <w:rFonts w:ascii="Times New Roman" w:hAnsi="Times New Roman" w:cs="Times New Roman"/>
          <w:lang w:val="en-IN"/>
        </w:rPr>
        <w:t xml:space="preserve">Improving documentation by identifying the strengths and weaknesses of the institution and </w:t>
      </w:r>
      <w:r w:rsidRPr="00BF0EEB">
        <w:rPr>
          <w:rFonts w:ascii="Times New Roman" w:hAnsi="Times New Roman" w:cs="Times New Roman"/>
        </w:rPr>
        <w:t>seek suggestions for improving academic quality and, instill better cooperation and recognition of various departments’ activities.</w:t>
      </w:r>
      <w:proofErr w:type="gramEnd"/>
      <w:r w:rsidRPr="00BF0EEB">
        <w:rPr>
          <w:rFonts w:ascii="Times New Roman" w:hAnsi="Times New Roman" w:cs="Times New Roman"/>
        </w:rPr>
        <w:t xml:space="preserve"> </w:t>
      </w:r>
    </w:p>
    <w:p w:rsidR="007C1A11" w:rsidRPr="00BF0EEB" w:rsidRDefault="007C1A11" w:rsidP="007C1A11">
      <w:pPr>
        <w:pStyle w:val="NoSpacing"/>
        <w:ind w:left="284"/>
        <w:rPr>
          <w:rFonts w:ascii="Times New Roman" w:hAnsi="Times New Roman" w:cs="Times New Roman"/>
          <w:lang w:val="en-IN"/>
        </w:rPr>
      </w:pPr>
      <w:r w:rsidRPr="00BF0EEB">
        <w:rPr>
          <w:rFonts w:ascii="Times New Roman" w:hAnsi="Times New Roman" w:cs="Times New Roman"/>
          <w:lang w:val="en-IN"/>
        </w:rPr>
        <w:t xml:space="preserve"> </w:t>
      </w:r>
    </w:p>
    <w:p w:rsidR="007C1A11" w:rsidRPr="00BF0EEB" w:rsidRDefault="007C1A11" w:rsidP="007C1A11">
      <w:pPr>
        <w:pStyle w:val="NoSpacing"/>
        <w:numPr>
          <w:ilvl w:val="0"/>
          <w:numId w:val="1"/>
        </w:numPr>
        <w:ind w:left="284" w:hanging="284"/>
        <w:rPr>
          <w:rFonts w:ascii="Times New Roman" w:hAnsi="Times New Roman" w:cs="Times New Roman"/>
          <w:b/>
          <w:lang w:val="en-IN"/>
        </w:rPr>
      </w:pPr>
      <w:r w:rsidRPr="00BF0EEB">
        <w:rPr>
          <w:rFonts w:ascii="Times New Roman" w:hAnsi="Times New Roman" w:cs="Times New Roman"/>
          <w:b/>
          <w:lang w:val="en-IN"/>
        </w:rPr>
        <w:t>Context</w:t>
      </w:r>
    </w:p>
    <w:p w:rsidR="007C1A11" w:rsidRPr="00BF0EEB" w:rsidRDefault="007C1A11" w:rsidP="007C1A11">
      <w:pPr>
        <w:pStyle w:val="NoSpacing"/>
        <w:rPr>
          <w:rFonts w:ascii="Times New Roman" w:hAnsi="Times New Roman" w:cs="Times New Roman"/>
          <w:b/>
          <w:lang w:val="en-IN"/>
        </w:rPr>
      </w:pPr>
    </w:p>
    <w:p w:rsidR="007C1A11" w:rsidRPr="00BF0EEB" w:rsidRDefault="007C1A11" w:rsidP="007C1A11">
      <w:pPr>
        <w:jc w:val="both"/>
        <w:rPr>
          <w:rFonts w:ascii="Times New Roman" w:hAnsi="Times New Roman" w:cs="Times New Roman"/>
        </w:rPr>
      </w:pPr>
      <w:r w:rsidRPr="00BF0EEB">
        <w:rPr>
          <w:rFonts w:ascii="Times New Roman" w:hAnsi="Times New Roman" w:cs="Times New Roman"/>
        </w:rPr>
        <w:t>Student-</w:t>
      </w:r>
      <w:proofErr w:type="spellStart"/>
      <w:r w:rsidRPr="00BF0EEB">
        <w:rPr>
          <w:rFonts w:ascii="Times New Roman" w:hAnsi="Times New Roman" w:cs="Times New Roman"/>
        </w:rPr>
        <w:t>centred</w:t>
      </w:r>
      <w:proofErr w:type="spellEnd"/>
      <w:r w:rsidRPr="00BF0EEB">
        <w:rPr>
          <w:rFonts w:ascii="Times New Roman" w:hAnsi="Times New Roman" w:cs="Times New Roman"/>
        </w:rPr>
        <w:t xml:space="preserve"> education and employment of dynamic methods of education requires from teachers new attitudes and new skills. Methods of teaching besides ‘traditional methods of teaching: board, marker, lectures’ calls for stress on self-study, personal consultation between teachers and pupils, and sessions of seminars and workshops and any other related matters. </w:t>
      </w:r>
    </w:p>
    <w:p w:rsidR="007C1A11" w:rsidRPr="00BF0EEB" w:rsidRDefault="007C1A11" w:rsidP="007C1A11">
      <w:pPr>
        <w:spacing w:after="0" w:line="237" w:lineRule="atLeast"/>
        <w:jc w:val="both"/>
        <w:textAlignment w:val="baseline"/>
        <w:rPr>
          <w:rFonts w:ascii="Times New Roman" w:hAnsi="Times New Roman" w:cs="Times New Roman"/>
        </w:rPr>
      </w:pPr>
    </w:p>
    <w:p w:rsidR="007C1A11" w:rsidRPr="00BF0EEB" w:rsidRDefault="007C1A11" w:rsidP="007C1A11">
      <w:pPr>
        <w:spacing w:after="0" w:line="237" w:lineRule="atLeast"/>
        <w:jc w:val="both"/>
        <w:textAlignment w:val="baseline"/>
        <w:rPr>
          <w:rFonts w:ascii="Times New Roman" w:hAnsi="Times New Roman" w:cs="Times New Roman"/>
        </w:rPr>
      </w:pPr>
      <w:r w:rsidRPr="00BF0EEB">
        <w:rPr>
          <w:rFonts w:ascii="Times New Roman" w:hAnsi="Times New Roman" w:cs="Times New Roman"/>
          <w:color w:val="000000"/>
          <w:shd w:val="clear" w:color="auto" w:fill="FFFFFF"/>
        </w:rPr>
        <w:t>Teaching faculty, expected to provide knowledge and know-how,</w:t>
      </w:r>
      <w:r w:rsidRPr="00BF0EEB">
        <w:rPr>
          <w:rFonts w:ascii="Times New Roman" w:hAnsi="Times New Roman" w:cs="Times New Roman"/>
          <w:shd w:val="clear" w:color="auto" w:fill="FFFFFF"/>
        </w:rPr>
        <w:t xml:space="preserve"> provides students with opportunities for personal growth and oversees the conversion of knowledge gained to productive values in the institute and to the ultimate beneficiary. The </w:t>
      </w:r>
      <w:r w:rsidRPr="00BF0EEB">
        <w:rPr>
          <w:rFonts w:ascii="Times New Roman" w:hAnsi="Times New Roman" w:cs="Times New Roman"/>
        </w:rPr>
        <w:t xml:space="preserve">quality of teaching faculty as an issue to sustain higher education though committed to their students, to their subjects and to their profession, needs be ever </w:t>
      </w:r>
      <w:r w:rsidRPr="00BF0EEB">
        <w:rPr>
          <w:rFonts w:ascii="Times New Roman" w:hAnsi="Times New Roman" w:cs="Times New Roman"/>
          <w:color w:val="000000"/>
          <w:shd w:val="clear" w:color="auto" w:fill="FFFFFF"/>
        </w:rPr>
        <w:t>primarily purposeful in improving work performance.</w:t>
      </w:r>
    </w:p>
    <w:p w:rsidR="007C1A11" w:rsidRPr="00BF0EEB" w:rsidRDefault="007C1A11" w:rsidP="007C1A11">
      <w:pPr>
        <w:spacing w:after="0" w:line="237" w:lineRule="atLeast"/>
        <w:textAlignment w:val="baseline"/>
        <w:rPr>
          <w:rFonts w:ascii="Times New Roman" w:eastAsia="Times New Roman" w:hAnsi="Times New Roman" w:cs="Times New Roman"/>
          <w:color w:val="2B2B2B"/>
        </w:rPr>
      </w:pPr>
    </w:p>
    <w:p w:rsidR="007C1A11" w:rsidRPr="00BF0EEB" w:rsidRDefault="007C1A11" w:rsidP="007C1A11">
      <w:pPr>
        <w:pStyle w:val="NoSpacing"/>
        <w:numPr>
          <w:ilvl w:val="0"/>
          <w:numId w:val="1"/>
        </w:numPr>
        <w:ind w:left="284" w:hanging="284"/>
        <w:rPr>
          <w:rFonts w:ascii="Times New Roman" w:hAnsi="Times New Roman" w:cs="Times New Roman"/>
          <w:b/>
          <w:lang w:val="en-IN"/>
        </w:rPr>
      </w:pPr>
      <w:r w:rsidRPr="00BF0EEB">
        <w:rPr>
          <w:rFonts w:ascii="Times New Roman" w:hAnsi="Times New Roman" w:cs="Times New Roman"/>
          <w:b/>
          <w:lang w:val="en-IN"/>
        </w:rPr>
        <w:t>Practice</w:t>
      </w:r>
    </w:p>
    <w:p w:rsidR="007C1A11" w:rsidRPr="00BF0EEB" w:rsidRDefault="007C1A11" w:rsidP="007C1A11">
      <w:pPr>
        <w:pStyle w:val="NoSpacing"/>
        <w:rPr>
          <w:rFonts w:ascii="Times New Roman" w:hAnsi="Times New Roman" w:cs="Times New Roman"/>
          <w:b/>
          <w:lang w:val="en-IN"/>
        </w:rPr>
      </w:pPr>
    </w:p>
    <w:p w:rsidR="007C1A11" w:rsidRPr="00BF0EEB" w:rsidRDefault="007C1A11" w:rsidP="007C1A11">
      <w:pPr>
        <w:pStyle w:val="NoSpacing"/>
        <w:jc w:val="both"/>
        <w:rPr>
          <w:rFonts w:ascii="Times New Roman" w:hAnsi="Times New Roman" w:cs="Times New Roman"/>
          <w:lang w:val="en-IN"/>
        </w:rPr>
      </w:pPr>
      <w:r w:rsidRPr="00BF0EEB">
        <w:rPr>
          <w:rFonts w:ascii="Times New Roman" w:hAnsi="Times New Roman" w:cs="Times New Roman"/>
          <w:lang w:val="en-IN"/>
        </w:rPr>
        <w:t xml:space="preserve">Department Monthly Report, a practice taken up by the institution, assesses the academic performance of both individual faculty and the whole department. This practice develops accountability of the individual members with regards to their academic performance, assesses the strength and weakness of the department in particular and indirectly compares the academic performance of departments and members of faculty which develops a healthy competition among the members of faculty of each department and also among the various departments. It also serves as a documentation of both individual and department work performance, </w:t>
      </w:r>
      <w:r w:rsidRPr="00BF0EEB">
        <w:rPr>
          <w:rFonts w:ascii="Times New Roman" w:eastAsia="Times New Roman" w:hAnsi="Times New Roman" w:cs="Times New Roman"/>
        </w:rPr>
        <w:t xml:space="preserve">a recap of what had been done during the past month to show the continuity of developments, accomplishments for the month. </w:t>
      </w:r>
    </w:p>
    <w:p w:rsidR="007C1A11" w:rsidRPr="00BF0EEB" w:rsidRDefault="007C1A11" w:rsidP="007C1A11">
      <w:pPr>
        <w:pStyle w:val="NoSpacing"/>
        <w:rPr>
          <w:rFonts w:ascii="Times New Roman" w:hAnsi="Times New Roman" w:cs="Times New Roman"/>
          <w:lang w:val="en-IN"/>
        </w:rPr>
      </w:pPr>
      <w:r w:rsidRPr="00BF0EEB">
        <w:rPr>
          <w:rFonts w:ascii="Times New Roman" w:hAnsi="Times New Roman" w:cs="Times New Roman"/>
          <w:lang w:val="en-IN"/>
        </w:rPr>
        <w:t>The institution developed a format of the Department Monthly Report wherein number of</w:t>
      </w:r>
    </w:p>
    <w:p w:rsidR="007C1A11" w:rsidRPr="00BF0EEB" w:rsidRDefault="007C1A11" w:rsidP="007C1A11">
      <w:pPr>
        <w:pStyle w:val="NoSpacing"/>
        <w:numPr>
          <w:ilvl w:val="0"/>
          <w:numId w:val="2"/>
        </w:numPr>
        <w:rPr>
          <w:rFonts w:ascii="Times New Roman" w:hAnsi="Times New Roman" w:cs="Times New Roman"/>
          <w:lang w:val="en-IN"/>
        </w:rPr>
      </w:pPr>
      <w:r w:rsidRPr="00BF0EEB">
        <w:rPr>
          <w:rFonts w:ascii="Times New Roman" w:hAnsi="Times New Roman" w:cs="Times New Roman"/>
          <w:lang w:val="en-IN"/>
        </w:rPr>
        <w:t>Department meetings</w:t>
      </w:r>
    </w:p>
    <w:p w:rsidR="007C1A11" w:rsidRPr="00BF0EEB" w:rsidRDefault="007C1A11" w:rsidP="007C1A11">
      <w:pPr>
        <w:pStyle w:val="NoSpacing"/>
        <w:numPr>
          <w:ilvl w:val="0"/>
          <w:numId w:val="2"/>
        </w:numPr>
        <w:rPr>
          <w:rFonts w:ascii="Times New Roman" w:hAnsi="Times New Roman" w:cs="Times New Roman"/>
          <w:lang w:val="en-IN"/>
        </w:rPr>
      </w:pPr>
      <w:r w:rsidRPr="00BF0EEB">
        <w:rPr>
          <w:rFonts w:ascii="Times New Roman" w:hAnsi="Times New Roman" w:cs="Times New Roman"/>
          <w:lang w:val="en-IN"/>
        </w:rPr>
        <w:t>Classes taken as per Attendance Registers</w:t>
      </w:r>
    </w:p>
    <w:p w:rsidR="007C1A11" w:rsidRPr="00BF0EEB" w:rsidRDefault="007C1A11" w:rsidP="007C1A11">
      <w:pPr>
        <w:pStyle w:val="NoSpacing"/>
        <w:numPr>
          <w:ilvl w:val="0"/>
          <w:numId w:val="2"/>
        </w:numPr>
        <w:rPr>
          <w:rFonts w:ascii="Times New Roman" w:hAnsi="Times New Roman" w:cs="Times New Roman"/>
          <w:lang w:val="en-IN"/>
        </w:rPr>
      </w:pPr>
      <w:r w:rsidRPr="00BF0EEB">
        <w:rPr>
          <w:rFonts w:ascii="Times New Roman" w:hAnsi="Times New Roman" w:cs="Times New Roman"/>
          <w:lang w:val="en-IN"/>
        </w:rPr>
        <w:t>Faculty using ICT-enabled teaching and learning</w:t>
      </w:r>
    </w:p>
    <w:p w:rsidR="007C1A11" w:rsidRPr="00BF0EEB" w:rsidRDefault="007C1A11" w:rsidP="007C1A11">
      <w:pPr>
        <w:pStyle w:val="NoSpacing"/>
        <w:numPr>
          <w:ilvl w:val="0"/>
          <w:numId w:val="2"/>
        </w:numPr>
        <w:rPr>
          <w:rFonts w:ascii="Times New Roman" w:hAnsi="Times New Roman" w:cs="Times New Roman"/>
          <w:lang w:val="en-IN"/>
        </w:rPr>
      </w:pPr>
      <w:r w:rsidRPr="00BF0EEB">
        <w:rPr>
          <w:rFonts w:ascii="Times New Roman" w:hAnsi="Times New Roman" w:cs="Times New Roman"/>
          <w:lang w:val="en-IN"/>
        </w:rPr>
        <w:t>Classroom and curriculum development activities</w:t>
      </w:r>
    </w:p>
    <w:p w:rsidR="007C1A11" w:rsidRPr="00BF0EEB" w:rsidRDefault="007C1A11" w:rsidP="007C1A11">
      <w:pPr>
        <w:pStyle w:val="NoSpacing"/>
        <w:numPr>
          <w:ilvl w:val="0"/>
          <w:numId w:val="2"/>
        </w:numPr>
        <w:rPr>
          <w:rFonts w:ascii="Times New Roman" w:hAnsi="Times New Roman" w:cs="Times New Roman"/>
          <w:lang w:val="en-IN"/>
        </w:rPr>
      </w:pPr>
      <w:r w:rsidRPr="00BF0EEB">
        <w:rPr>
          <w:rFonts w:ascii="Times New Roman" w:hAnsi="Times New Roman" w:cs="Times New Roman"/>
          <w:lang w:val="en-IN"/>
        </w:rPr>
        <w:t>Value-added programmes</w:t>
      </w:r>
    </w:p>
    <w:p w:rsidR="007C1A11" w:rsidRPr="00BF0EEB" w:rsidRDefault="007C1A11" w:rsidP="007C1A11">
      <w:pPr>
        <w:pStyle w:val="NoSpacing"/>
        <w:numPr>
          <w:ilvl w:val="0"/>
          <w:numId w:val="2"/>
        </w:numPr>
        <w:rPr>
          <w:rFonts w:ascii="Times New Roman" w:hAnsi="Times New Roman" w:cs="Times New Roman"/>
          <w:lang w:val="en-IN"/>
        </w:rPr>
      </w:pPr>
      <w:r w:rsidRPr="00BF0EEB">
        <w:rPr>
          <w:rFonts w:ascii="Times New Roman" w:hAnsi="Times New Roman" w:cs="Times New Roman"/>
          <w:lang w:val="en-IN"/>
        </w:rPr>
        <w:t>Community services/ co-curricular activities by teachers and students</w:t>
      </w:r>
    </w:p>
    <w:p w:rsidR="007C1A11" w:rsidRPr="00BF0EEB" w:rsidRDefault="007C1A11" w:rsidP="007C1A11">
      <w:pPr>
        <w:pStyle w:val="NoSpacing"/>
        <w:numPr>
          <w:ilvl w:val="0"/>
          <w:numId w:val="2"/>
        </w:numPr>
        <w:rPr>
          <w:rFonts w:ascii="Times New Roman" w:hAnsi="Times New Roman" w:cs="Times New Roman"/>
          <w:lang w:val="en-IN"/>
        </w:rPr>
      </w:pPr>
      <w:r w:rsidRPr="00BF0EEB">
        <w:rPr>
          <w:rFonts w:ascii="Times New Roman" w:hAnsi="Times New Roman" w:cs="Times New Roman"/>
          <w:lang w:val="en-IN"/>
        </w:rPr>
        <w:t>Faculty development initiatives</w:t>
      </w:r>
    </w:p>
    <w:p w:rsidR="007C1A11" w:rsidRPr="00BF0EEB" w:rsidRDefault="007C1A11" w:rsidP="007C1A11">
      <w:pPr>
        <w:pStyle w:val="NoSpacing"/>
        <w:numPr>
          <w:ilvl w:val="0"/>
          <w:numId w:val="2"/>
        </w:numPr>
        <w:rPr>
          <w:rFonts w:ascii="Times New Roman" w:hAnsi="Times New Roman" w:cs="Times New Roman"/>
          <w:lang w:val="en-IN"/>
        </w:rPr>
      </w:pPr>
      <w:r w:rsidRPr="00BF0EEB">
        <w:rPr>
          <w:rFonts w:ascii="Times New Roman" w:hAnsi="Times New Roman" w:cs="Times New Roman"/>
          <w:lang w:val="en-IN"/>
        </w:rPr>
        <w:t>Details of Faculty development initiatives and any other relevant information</w:t>
      </w:r>
    </w:p>
    <w:p w:rsidR="007C1A11" w:rsidRPr="00BF0EEB" w:rsidRDefault="007C1A11" w:rsidP="007C1A11">
      <w:pPr>
        <w:pStyle w:val="NoSpacing"/>
        <w:ind w:left="1080" w:hanging="1080"/>
        <w:rPr>
          <w:rFonts w:ascii="Times New Roman" w:hAnsi="Times New Roman" w:cs="Times New Roman"/>
          <w:lang w:val="en-IN"/>
        </w:rPr>
      </w:pPr>
      <w:r>
        <w:rPr>
          <w:rFonts w:ascii="Times New Roman" w:hAnsi="Times New Roman" w:cs="Times New Roman"/>
          <w:lang w:val="en-IN"/>
        </w:rPr>
        <w:t xml:space="preserve">                    </w:t>
      </w:r>
      <w:proofErr w:type="gramStart"/>
      <w:r w:rsidRPr="00BF0EEB">
        <w:rPr>
          <w:rFonts w:ascii="Times New Roman" w:hAnsi="Times New Roman" w:cs="Times New Roman"/>
          <w:lang w:val="en-IN"/>
        </w:rPr>
        <w:t>are</w:t>
      </w:r>
      <w:proofErr w:type="gramEnd"/>
      <w:r w:rsidRPr="00BF0EEB">
        <w:rPr>
          <w:rFonts w:ascii="Times New Roman" w:hAnsi="Times New Roman" w:cs="Times New Roman"/>
          <w:lang w:val="en-IN"/>
        </w:rPr>
        <w:t xml:space="preserve"> recorded.</w:t>
      </w:r>
    </w:p>
    <w:p w:rsidR="007C1A11" w:rsidRPr="00BF0EEB" w:rsidRDefault="007C1A11" w:rsidP="007C1A11">
      <w:pPr>
        <w:pStyle w:val="NoSpacing"/>
        <w:rPr>
          <w:rFonts w:ascii="Times New Roman" w:hAnsi="Times New Roman" w:cs="Times New Roman"/>
          <w:lang w:val="en-IN"/>
        </w:rPr>
      </w:pPr>
    </w:p>
    <w:p w:rsidR="007C1A11" w:rsidRPr="00BF0EEB" w:rsidRDefault="007C1A11" w:rsidP="007C1A11">
      <w:pPr>
        <w:pStyle w:val="NoSpacing"/>
        <w:numPr>
          <w:ilvl w:val="0"/>
          <w:numId w:val="1"/>
        </w:numPr>
        <w:ind w:left="284" w:hanging="284"/>
        <w:rPr>
          <w:rFonts w:ascii="Times New Roman" w:hAnsi="Times New Roman" w:cs="Times New Roman"/>
          <w:b/>
          <w:lang w:val="en-IN"/>
        </w:rPr>
      </w:pPr>
      <w:r w:rsidRPr="00BF0EEB">
        <w:rPr>
          <w:rFonts w:ascii="Times New Roman" w:hAnsi="Times New Roman" w:cs="Times New Roman"/>
          <w:b/>
          <w:lang w:val="en-IN"/>
        </w:rPr>
        <w:t>Evidence of Success</w:t>
      </w:r>
    </w:p>
    <w:p w:rsidR="007C1A11" w:rsidRPr="00BF0EEB" w:rsidRDefault="007C1A11" w:rsidP="007C1A11">
      <w:pPr>
        <w:pStyle w:val="NoSpacing"/>
        <w:rPr>
          <w:rFonts w:ascii="Times New Roman" w:hAnsi="Times New Roman" w:cs="Times New Roman"/>
          <w:b/>
          <w:lang w:val="en-IN"/>
        </w:rPr>
      </w:pPr>
    </w:p>
    <w:p w:rsidR="007C1A11" w:rsidRPr="00BF0EEB" w:rsidRDefault="007C1A11" w:rsidP="007C1A11">
      <w:pPr>
        <w:pStyle w:val="NoSpacing"/>
        <w:jc w:val="both"/>
        <w:rPr>
          <w:rFonts w:ascii="Times New Roman" w:hAnsi="Times New Roman" w:cs="Times New Roman"/>
          <w:lang w:val="en-IN"/>
        </w:rPr>
      </w:pPr>
      <w:r w:rsidRPr="00BF0EEB">
        <w:rPr>
          <w:rFonts w:ascii="Times New Roman" w:hAnsi="Times New Roman" w:cs="Times New Roman"/>
          <w:lang w:val="en-IN"/>
        </w:rPr>
        <w:t xml:space="preserve">After conducting the Department Monthly Report regularly, a significant improvement of the individual faculty with regard to attending seminars, publishing papers, organizing seminars / workshops, maintaining records, more interactions among department faculty members etc. are positively experienced. </w:t>
      </w:r>
    </w:p>
    <w:p w:rsidR="007C1A11" w:rsidRPr="00BF0EEB" w:rsidRDefault="007C1A11" w:rsidP="007C1A11">
      <w:pPr>
        <w:pStyle w:val="NoSpacing"/>
        <w:rPr>
          <w:rFonts w:ascii="Times New Roman" w:hAnsi="Times New Roman" w:cs="Times New Roman"/>
          <w:b/>
          <w:lang w:val="en-IN"/>
        </w:rPr>
      </w:pPr>
    </w:p>
    <w:p w:rsidR="007C1A11" w:rsidRPr="00BF0EEB" w:rsidRDefault="007C1A11" w:rsidP="007C1A11">
      <w:pPr>
        <w:pStyle w:val="NoSpacing"/>
        <w:numPr>
          <w:ilvl w:val="0"/>
          <w:numId w:val="1"/>
        </w:numPr>
        <w:ind w:left="284" w:hanging="284"/>
        <w:rPr>
          <w:rFonts w:ascii="Times New Roman" w:hAnsi="Times New Roman" w:cs="Times New Roman"/>
          <w:b/>
          <w:lang w:val="en-IN"/>
        </w:rPr>
      </w:pPr>
      <w:r w:rsidRPr="00BF0EEB">
        <w:rPr>
          <w:rFonts w:ascii="Times New Roman" w:hAnsi="Times New Roman" w:cs="Times New Roman"/>
          <w:b/>
          <w:lang w:val="en-IN"/>
        </w:rPr>
        <w:t>Problems Encountered and Resources</w:t>
      </w:r>
    </w:p>
    <w:p w:rsidR="007C1A11" w:rsidRPr="00BF0EEB" w:rsidRDefault="007C1A11" w:rsidP="007C1A11">
      <w:pPr>
        <w:pStyle w:val="NoSpacing"/>
        <w:rPr>
          <w:rFonts w:ascii="Times New Roman" w:hAnsi="Times New Roman" w:cs="Times New Roman"/>
          <w:b/>
          <w:lang w:val="en-IN"/>
        </w:rPr>
      </w:pPr>
    </w:p>
    <w:p w:rsidR="007C1A11" w:rsidRPr="00BF0EEB" w:rsidRDefault="007C1A11" w:rsidP="007C1A11">
      <w:pPr>
        <w:pStyle w:val="NoSpacing"/>
        <w:rPr>
          <w:rFonts w:ascii="Times New Roman" w:hAnsi="Times New Roman" w:cs="Times New Roman"/>
          <w:lang w:val="en-IN"/>
        </w:rPr>
      </w:pPr>
      <w:r w:rsidRPr="00BF0EEB">
        <w:rPr>
          <w:rFonts w:ascii="Times New Roman" w:hAnsi="Times New Roman" w:cs="Times New Roman"/>
          <w:lang w:val="en-IN"/>
        </w:rPr>
        <w:t>No problem encountered till date.</w:t>
      </w:r>
    </w:p>
    <w:p w:rsidR="00933929" w:rsidRDefault="00933929"/>
    <w:sectPr w:rsidR="00933929" w:rsidSect="009339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81E6A"/>
    <w:multiLevelType w:val="hybridMultilevel"/>
    <w:tmpl w:val="E3024BB6"/>
    <w:lvl w:ilvl="0" w:tplc="37924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CB7F6C"/>
    <w:multiLevelType w:val="hybridMultilevel"/>
    <w:tmpl w:val="52DE73A8"/>
    <w:lvl w:ilvl="0" w:tplc="19ECC6E8">
      <w:start w:val="1"/>
      <w:numFmt w:val="decimal"/>
      <w:lvlText w:val="%1."/>
      <w:lvlJc w:val="left"/>
      <w:pPr>
        <w:ind w:left="644" w:hanging="360"/>
      </w:pPr>
      <w:rPr>
        <w:rFonts w:hint="default"/>
        <w:b/>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1A11"/>
    <w:rsid w:val="00696D51"/>
    <w:rsid w:val="007C1A11"/>
    <w:rsid w:val="00933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A11"/>
    <w:pPr>
      <w:spacing w:after="0" w:line="240" w:lineRule="auto"/>
    </w:pPr>
  </w:style>
  <w:style w:type="paragraph" w:customStyle="1" w:styleId="Default">
    <w:name w:val="Default"/>
    <w:rsid w:val="007C1A1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IQAC</dc:creator>
  <cp:lastModifiedBy>IQAC</cp:lastModifiedBy>
  <cp:revision>1</cp:revision>
  <dcterms:created xsi:type="dcterms:W3CDTF">2020-12-14T07:26:00Z</dcterms:created>
  <dcterms:modified xsi:type="dcterms:W3CDTF">2020-12-14T08:23:00Z</dcterms:modified>
</cp:coreProperties>
</file>